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A4" w:rsidRPr="005A3EE3" w:rsidRDefault="005E1CA4" w:rsidP="005E1CA4">
      <w:pPr>
        <w:spacing w:after="0"/>
        <w:jc w:val="center"/>
        <w:rPr>
          <w:b/>
          <w:sz w:val="28"/>
          <w:szCs w:val="28"/>
        </w:rPr>
      </w:pPr>
      <w:r>
        <w:rPr>
          <w:b/>
          <w:sz w:val="28"/>
          <w:szCs w:val="28"/>
        </w:rPr>
        <w:t>Attachment D</w:t>
      </w:r>
    </w:p>
    <w:p w:rsidR="005E1CA4" w:rsidRDefault="005E1CA4" w:rsidP="005E1CA4">
      <w:pPr>
        <w:spacing w:after="0"/>
        <w:jc w:val="center"/>
        <w:rPr>
          <w:b/>
          <w:sz w:val="28"/>
          <w:szCs w:val="28"/>
        </w:rPr>
      </w:pPr>
      <w:r>
        <w:rPr>
          <w:b/>
          <w:sz w:val="28"/>
          <w:szCs w:val="28"/>
        </w:rPr>
        <w:t>Bid Proposal Form</w:t>
      </w:r>
    </w:p>
    <w:p w:rsidR="005E1CA4" w:rsidRDefault="005E1CA4" w:rsidP="005E1CA4">
      <w:pPr>
        <w:spacing w:after="0"/>
        <w:rPr>
          <w:b/>
          <w:sz w:val="24"/>
          <w:szCs w:val="24"/>
        </w:rPr>
      </w:pPr>
    </w:p>
    <w:p w:rsidR="005E1CA4" w:rsidRPr="00705539" w:rsidRDefault="005E1CA4" w:rsidP="005E1CA4">
      <w:pPr>
        <w:spacing w:after="0"/>
        <w:rPr>
          <w:sz w:val="24"/>
          <w:szCs w:val="24"/>
        </w:rPr>
      </w:pPr>
      <w:r>
        <w:rPr>
          <w:sz w:val="24"/>
          <w:szCs w:val="24"/>
        </w:rPr>
        <w:t>General Contractor required to use the following Bid Proposal Form with the cost breakdowns for final bid submittal.  If General Contractor would like to break down the bid breakdowns further or add additional details, this form may be manipulated to add additional information of explanations as needed.</w:t>
      </w:r>
    </w:p>
    <w:p w:rsidR="005E1CA4" w:rsidRDefault="005E1CA4" w:rsidP="005E1CA4">
      <w:pPr>
        <w:spacing w:after="0"/>
        <w:rPr>
          <w:b/>
          <w:sz w:val="24"/>
          <w:szCs w:val="24"/>
        </w:rPr>
      </w:pPr>
    </w:p>
    <w:tbl>
      <w:tblPr>
        <w:tblStyle w:val="TableGrid"/>
        <w:tblW w:w="0" w:type="auto"/>
        <w:tblLook w:val="04A0" w:firstRow="1" w:lastRow="0" w:firstColumn="1" w:lastColumn="0" w:noHBand="0" w:noVBand="1"/>
      </w:tblPr>
      <w:tblGrid>
        <w:gridCol w:w="2965"/>
        <w:gridCol w:w="1530"/>
        <w:gridCol w:w="2250"/>
        <w:gridCol w:w="2605"/>
      </w:tblGrid>
      <w:tr w:rsidR="005E1CA4" w:rsidTr="003D556E">
        <w:tc>
          <w:tcPr>
            <w:tcW w:w="2965" w:type="dxa"/>
            <w:tcBorders>
              <w:bottom w:val="single" w:sz="4" w:space="0" w:color="auto"/>
            </w:tcBorders>
            <w:shd w:val="clear" w:color="auto" w:fill="FFFF00"/>
          </w:tcPr>
          <w:p w:rsidR="005E1CA4" w:rsidRDefault="005E1CA4" w:rsidP="003D556E">
            <w:pPr>
              <w:rPr>
                <w:b/>
                <w:sz w:val="24"/>
                <w:szCs w:val="24"/>
              </w:rPr>
            </w:pPr>
            <w:r>
              <w:rPr>
                <w:b/>
                <w:sz w:val="24"/>
                <w:szCs w:val="24"/>
              </w:rPr>
              <w:t>DESCRIPTION</w:t>
            </w:r>
          </w:p>
        </w:tc>
        <w:tc>
          <w:tcPr>
            <w:tcW w:w="1530" w:type="dxa"/>
            <w:tcBorders>
              <w:bottom w:val="single" w:sz="4" w:space="0" w:color="auto"/>
            </w:tcBorders>
            <w:shd w:val="clear" w:color="auto" w:fill="FFFF00"/>
          </w:tcPr>
          <w:p w:rsidR="005E1CA4" w:rsidRDefault="005E1CA4" w:rsidP="003D556E">
            <w:pPr>
              <w:rPr>
                <w:b/>
                <w:sz w:val="24"/>
                <w:szCs w:val="24"/>
              </w:rPr>
            </w:pPr>
            <w:r>
              <w:rPr>
                <w:b/>
                <w:sz w:val="24"/>
                <w:szCs w:val="24"/>
              </w:rPr>
              <w:t>QUANTITY</w:t>
            </w:r>
          </w:p>
        </w:tc>
        <w:tc>
          <w:tcPr>
            <w:tcW w:w="2250" w:type="dxa"/>
            <w:tcBorders>
              <w:bottom w:val="single" w:sz="4" w:space="0" w:color="auto"/>
            </w:tcBorders>
            <w:shd w:val="clear" w:color="auto" w:fill="FFFF00"/>
          </w:tcPr>
          <w:p w:rsidR="005E1CA4" w:rsidRDefault="005E1CA4" w:rsidP="003D556E">
            <w:pPr>
              <w:rPr>
                <w:b/>
                <w:sz w:val="24"/>
                <w:szCs w:val="24"/>
              </w:rPr>
            </w:pPr>
            <w:r>
              <w:rPr>
                <w:b/>
                <w:sz w:val="24"/>
                <w:szCs w:val="24"/>
              </w:rPr>
              <w:t>MATERIAL</w:t>
            </w:r>
          </w:p>
        </w:tc>
        <w:tc>
          <w:tcPr>
            <w:tcW w:w="2605" w:type="dxa"/>
            <w:tcBorders>
              <w:bottom w:val="single" w:sz="4" w:space="0" w:color="auto"/>
            </w:tcBorders>
            <w:shd w:val="clear" w:color="auto" w:fill="FFFF00"/>
          </w:tcPr>
          <w:p w:rsidR="005E1CA4" w:rsidRDefault="005E1CA4" w:rsidP="003D556E">
            <w:pPr>
              <w:rPr>
                <w:b/>
                <w:sz w:val="24"/>
                <w:szCs w:val="24"/>
              </w:rPr>
            </w:pPr>
            <w:r>
              <w:rPr>
                <w:b/>
                <w:sz w:val="24"/>
                <w:szCs w:val="24"/>
              </w:rPr>
              <w:t>LABOR</w:t>
            </w:r>
          </w:p>
        </w:tc>
      </w:tr>
      <w:tr w:rsidR="005E1CA4" w:rsidTr="003D556E">
        <w:trPr>
          <w:trHeight w:val="350"/>
        </w:trPr>
        <w:tc>
          <w:tcPr>
            <w:tcW w:w="2965" w:type="dxa"/>
            <w:shd w:val="clear" w:color="auto" w:fill="BFBFBF" w:themeFill="background1" w:themeFillShade="BF"/>
          </w:tcPr>
          <w:p w:rsidR="005E1CA4" w:rsidRDefault="005E1CA4" w:rsidP="003D556E">
            <w:pPr>
              <w:rPr>
                <w:b/>
                <w:sz w:val="24"/>
                <w:szCs w:val="24"/>
              </w:rPr>
            </w:pPr>
            <w:r>
              <w:rPr>
                <w:b/>
                <w:sz w:val="24"/>
                <w:szCs w:val="24"/>
              </w:rPr>
              <w:t>GENERAL CONDITIONS</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rPr>
          <w:trHeight w:val="377"/>
        </w:trPr>
        <w:tc>
          <w:tcPr>
            <w:tcW w:w="2965" w:type="dxa"/>
          </w:tcPr>
          <w:p w:rsidR="005E1CA4" w:rsidRDefault="005E1CA4" w:rsidP="003D556E">
            <w:pPr>
              <w:rPr>
                <w:b/>
                <w:sz w:val="24"/>
                <w:szCs w:val="24"/>
              </w:rPr>
            </w:pPr>
            <w:r>
              <w:rPr>
                <w:b/>
                <w:sz w:val="24"/>
                <w:szCs w:val="24"/>
              </w:rPr>
              <w:t>Staffing</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Permits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Equipment</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Storage</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Safety Barriers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Dumpsters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Cleaning</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Closeout Documents</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EXTERIOR</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Site Sidewalk Concrete Repairs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Concrete Wall Caps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Horizontal/Vertical Siding, Fascia, Soffit</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Eaves Trough System</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Roofing*</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Decking &amp; Aluminum Railing</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DOORS &amp; WINDOWS</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Entry Doors, Frames, Sills, &amp; Accessories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Closet Doors &amp; Accessories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Patio Doors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Windows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Trim for Windows, Closets, and Patio Doors</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FLOORING</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Luxury Vinyl Plank 1301</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Wall Base 1301 A</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Porcelain Tile 1302</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Wall Base &amp; Protective Edge 1302A&amp;B</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Carpet 1303</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Wall Base 1303A&amp;B</w:t>
            </w:r>
          </w:p>
        </w:tc>
        <w:tc>
          <w:tcPr>
            <w:tcW w:w="1530" w:type="dxa"/>
          </w:tcPr>
          <w:p w:rsidR="005E1CA4" w:rsidRDefault="005E1CA4" w:rsidP="003D556E">
            <w:pPr>
              <w:rPr>
                <w:b/>
                <w:sz w:val="24"/>
                <w:szCs w:val="24"/>
              </w:rPr>
            </w:pPr>
            <w:bookmarkStart w:id="0" w:name="_GoBack"/>
            <w:bookmarkEnd w:id="0"/>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lastRenderedPageBreak/>
              <w:t>Luxury Vinyl Plank 1304</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Wall Base 1304A</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VCT 1307</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Wall Base 1307A</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Porcelain Tile 1308</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Wall Base &amp; Protective Edge 1308A</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WALL COVERING &amp; PAINT</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Interior Paint</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Exterior Paint</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proofErr w:type="spellStart"/>
            <w:r>
              <w:rPr>
                <w:b/>
                <w:sz w:val="24"/>
                <w:szCs w:val="24"/>
              </w:rPr>
              <w:t>Wallcovering</w:t>
            </w:r>
            <w:proofErr w:type="spellEnd"/>
            <w:r>
              <w:rPr>
                <w:b/>
                <w:sz w:val="24"/>
                <w:szCs w:val="24"/>
              </w:rPr>
              <w:t xml:space="preserve"> 1404</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proofErr w:type="spellStart"/>
            <w:r>
              <w:rPr>
                <w:b/>
                <w:sz w:val="24"/>
                <w:szCs w:val="24"/>
              </w:rPr>
              <w:t>Wallcovering</w:t>
            </w:r>
            <w:proofErr w:type="spellEnd"/>
            <w:r>
              <w:rPr>
                <w:b/>
                <w:sz w:val="24"/>
                <w:szCs w:val="24"/>
              </w:rPr>
              <w:t xml:space="preserve"> 1404A</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Wall Guards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Corner Guards</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KITCHEN CABINETRY &amp; COUNTERS</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Cabinets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Cabinet Accessories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Laminate Counters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Quartz Kitchen Counters</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Quartz Bathroom Counters</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ELECTRICAL</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Electrical</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PLUMBING</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Fixture Installations (Baths, Kitchen, etc…)</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Water Softener System*</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Laundry Room Plumbing</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Valve Replacement</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MECHANICAL</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Furnace Replacement*</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Duct Work in Laundry</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SPECIALITY</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Laundry Room Concrete</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Borders>
              <w:bottom w:val="single" w:sz="4" w:space="0" w:color="auto"/>
            </w:tcBorders>
          </w:tcPr>
          <w:p w:rsidR="005E1CA4" w:rsidRDefault="005E1CA4" w:rsidP="003D556E">
            <w:pPr>
              <w:rPr>
                <w:b/>
                <w:sz w:val="24"/>
                <w:szCs w:val="24"/>
              </w:rPr>
            </w:pPr>
            <w:r>
              <w:rPr>
                <w:b/>
                <w:sz w:val="24"/>
                <w:szCs w:val="24"/>
              </w:rPr>
              <w:t>FF&amp;E Installation</w:t>
            </w:r>
          </w:p>
        </w:tc>
        <w:tc>
          <w:tcPr>
            <w:tcW w:w="1530" w:type="dxa"/>
            <w:tcBorders>
              <w:bottom w:val="single" w:sz="4" w:space="0" w:color="auto"/>
            </w:tcBorders>
          </w:tcPr>
          <w:p w:rsidR="005E1CA4" w:rsidRDefault="005E1CA4" w:rsidP="003D556E">
            <w:pPr>
              <w:rPr>
                <w:b/>
                <w:sz w:val="24"/>
                <w:szCs w:val="24"/>
              </w:rPr>
            </w:pPr>
          </w:p>
        </w:tc>
        <w:tc>
          <w:tcPr>
            <w:tcW w:w="2250" w:type="dxa"/>
            <w:tcBorders>
              <w:bottom w:val="single" w:sz="4" w:space="0" w:color="auto"/>
            </w:tcBorders>
          </w:tcPr>
          <w:p w:rsidR="005E1CA4" w:rsidRDefault="005E1CA4" w:rsidP="003D556E">
            <w:pPr>
              <w:rPr>
                <w:b/>
                <w:sz w:val="24"/>
                <w:szCs w:val="24"/>
              </w:rPr>
            </w:pPr>
          </w:p>
        </w:tc>
        <w:tc>
          <w:tcPr>
            <w:tcW w:w="2605" w:type="dxa"/>
            <w:tcBorders>
              <w:bottom w:val="single" w:sz="4" w:space="0" w:color="auto"/>
            </w:tcBorders>
          </w:tcPr>
          <w:p w:rsidR="005E1CA4" w:rsidRDefault="005E1CA4" w:rsidP="003D556E">
            <w:pPr>
              <w:rPr>
                <w:b/>
                <w:sz w:val="24"/>
                <w:szCs w:val="24"/>
              </w:rPr>
            </w:pPr>
          </w:p>
        </w:tc>
      </w:tr>
      <w:tr w:rsidR="005E1CA4" w:rsidTr="003D556E">
        <w:tc>
          <w:tcPr>
            <w:tcW w:w="2965" w:type="dxa"/>
            <w:shd w:val="clear" w:color="auto" w:fill="BFBFBF" w:themeFill="background1" w:themeFillShade="BF"/>
          </w:tcPr>
          <w:p w:rsidR="005E1CA4" w:rsidRDefault="005E1CA4" w:rsidP="003D556E">
            <w:pPr>
              <w:rPr>
                <w:b/>
                <w:sz w:val="24"/>
                <w:szCs w:val="24"/>
              </w:rPr>
            </w:pPr>
            <w:r>
              <w:rPr>
                <w:b/>
                <w:sz w:val="24"/>
                <w:szCs w:val="24"/>
              </w:rPr>
              <w:t>MISCELLANEOUS</w:t>
            </w:r>
          </w:p>
        </w:tc>
        <w:tc>
          <w:tcPr>
            <w:tcW w:w="1530" w:type="dxa"/>
            <w:shd w:val="clear" w:color="auto" w:fill="BFBFBF" w:themeFill="background1" w:themeFillShade="BF"/>
          </w:tcPr>
          <w:p w:rsidR="005E1CA4" w:rsidRDefault="005E1CA4" w:rsidP="003D556E">
            <w:pPr>
              <w:rPr>
                <w:b/>
                <w:sz w:val="24"/>
                <w:szCs w:val="24"/>
              </w:rPr>
            </w:pPr>
          </w:p>
        </w:tc>
        <w:tc>
          <w:tcPr>
            <w:tcW w:w="2250" w:type="dxa"/>
            <w:shd w:val="clear" w:color="auto" w:fill="BFBFBF" w:themeFill="background1" w:themeFillShade="BF"/>
          </w:tcPr>
          <w:p w:rsidR="005E1CA4" w:rsidRDefault="005E1CA4" w:rsidP="003D556E">
            <w:pPr>
              <w:rPr>
                <w:b/>
                <w:sz w:val="24"/>
                <w:szCs w:val="24"/>
              </w:rPr>
            </w:pPr>
          </w:p>
        </w:tc>
        <w:tc>
          <w:tcPr>
            <w:tcW w:w="2605" w:type="dxa"/>
            <w:shd w:val="clear" w:color="auto" w:fill="BFBFBF" w:themeFill="background1" w:themeFillShade="BF"/>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General Liability Insurance</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Contingency</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r w:rsidR="005E1CA4" w:rsidTr="003D556E">
        <w:tc>
          <w:tcPr>
            <w:tcW w:w="2965" w:type="dxa"/>
          </w:tcPr>
          <w:p w:rsidR="005E1CA4" w:rsidRDefault="005E1CA4" w:rsidP="003D556E">
            <w:pPr>
              <w:rPr>
                <w:b/>
                <w:sz w:val="24"/>
                <w:szCs w:val="24"/>
              </w:rPr>
            </w:pPr>
            <w:r>
              <w:rPr>
                <w:b/>
                <w:sz w:val="24"/>
                <w:szCs w:val="24"/>
              </w:rPr>
              <w:t>Contractor Fee</w:t>
            </w:r>
          </w:p>
        </w:tc>
        <w:tc>
          <w:tcPr>
            <w:tcW w:w="1530" w:type="dxa"/>
          </w:tcPr>
          <w:p w:rsidR="005E1CA4" w:rsidRDefault="005E1CA4" w:rsidP="003D556E">
            <w:pPr>
              <w:rPr>
                <w:b/>
                <w:sz w:val="24"/>
                <w:szCs w:val="24"/>
              </w:rPr>
            </w:pPr>
          </w:p>
        </w:tc>
        <w:tc>
          <w:tcPr>
            <w:tcW w:w="2250" w:type="dxa"/>
          </w:tcPr>
          <w:p w:rsidR="005E1CA4" w:rsidRDefault="005E1CA4" w:rsidP="003D556E">
            <w:pPr>
              <w:rPr>
                <w:b/>
                <w:sz w:val="24"/>
                <w:szCs w:val="24"/>
              </w:rPr>
            </w:pPr>
          </w:p>
        </w:tc>
        <w:tc>
          <w:tcPr>
            <w:tcW w:w="2605" w:type="dxa"/>
          </w:tcPr>
          <w:p w:rsidR="005E1CA4" w:rsidRDefault="005E1CA4" w:rsidP="003D556E">
            <w:pPr>
              <w:rPr>
                <w:b/>
                <w:sz w:val="24"/>
                <w:szCs w:val="24"/>
              </w:rPr>
            </w:pPr>
          </w:p>
        </w:tc>
      </w:tr>
    </w:tbl>
    <w:p w:rsidR="005E1CA4" w:rsidRDefault="005E1CA4" w:rsidP="005E1CA4">
      <w:pPr>
        <w:spacing w:after="0"/>
        <w:rPr>
          <w:b/>
          <w:sz w:val="24"/>
          <w:szCs w:val="24"/>
        </w:rPr>
      </w:pPr>
    </w:p>
    <w:p w:rsidR="005E1CA4" w:rsidRDefault="005E1CA4" w:rsidP="005E1CA4">
      <w:pPr>
        <w:spacing w:after="0"/>
        <w:rPr>
          <w:b/>
          <w:sz w:val="24"/>
          <w:szCs w:val="24"/>
        </w:rPr>
      </w:pPr>
      <w:r>
        <w:rPr>
          <w:b/>
          <w:sz w:val="24"/>
          <w:szCs w:val="24"/>
        </w:rPr>
        <w:t>*Please provide additional information on recommendations for Roofing Repairs, Water Softener System, and Furnace Replacement including specifications for the replacement equipment.</w:t>
      </w:r>
    </w:p>
    <w:p w:rsidR="00864414" w:rsidRDefault="00864414"/>
    <w:sectPr w:rsidR="00864414" w:rsidSect="005E1CA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A4"/>
    <w:rsid w:val="005E1CA4"/>
    <w:rsid w:val="0086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2D74-0B4D-43E6-B7EE-39E7998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SCIT</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Darnell</dc:creator>
  <cp:keywords/>
  <dc:description/>
  <cp:lastModifiedBy>Lisa Darnell</cp:lastModifiedBy>
  <cp:revision>1</cp:revision>
  <dcterms:created xsi:type="dcterms:W3CDTF">2018-01-25T18:16:00Z</dcterms:created>
  <dcterms:modified xsi:type="dcterms:W3CDTF">2018-01-25T18:19:00Z</dcterms:modified>
</cp:coreProperties>
</file>